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0E89" w14:textId="77777777" w:rsidR="008E781A" w:rsidRDefault="00756462">
      <w:pPr>
        <w:spacing w:after="0"/>
        <w:ind w:left="22" w:right="0" w:firstLine="0"/>
        <w:jc w:val="left"/>
      </w:pPr>
      <w:r>
        <w:rPr>
          <w:b/>
          <w:u w:val="single" w:color="000000"/>
        </w:rPr>
        <w:t>ATTENTION : PRESCRIPTION DU RECOURS ENTRE CONSTRUCTEURS ET/OU ENTRE CONSTRUCTEURS</w:t>
      </w:r>
      <w:r>
        <w:rPr>
          <w:b/>
        </w:rPr>
        <w:t xml:space="preserve"> </w:t>
      </w:r>
    </w:p>
    <w:p w14:paraId="5B7C44F5" w14:textId="77777777" w:rsidR="008E781A" w:rsidRDefault="00756462">
      <w:pPr>
        <w:spacing w:after="160"/>
        <w:ind w:left="0" w:firstLine="0"/>
        <w:jc w:val="center"/>
      </w:pPr>
      <w:r>
        <w:rPr>
          <w:b/>
          <w:u w:val="single" w:color="000000"/>
        </w:rPr>
        <w:t>ET SOUS-TRAITANTS</w:t>
      </w:r>
      <w:r>
        <w:rPr>
          <w:b/>
        </w:rPr>
        <w:t xml:space="preserve"> </w:t>
      </w:r>
    </w:p>
    <w:p w14:paraId="496E44C5" w14:textId="77777777" w:rsidR="008E781A" w:rsidRDefault="00756462">
      <w:pPr>
        <w:spacing w:after="160"/>
        <w:ind w:left="0" w:right="0" w:firstLine="0"/>
        <w:jc w:val="left"/>
      </w:pPr>
      <w:r>
        <w:t xml:space="preserve"> </w:t>
      </w:r>
    </w:p>
    <w:p w14:paraId="26510446" w14:textId="77777777" w:rsidR="008E781A" w:rsidRDefault="00756462">
      <w:pPr>
        <w:ind w:left="-5" w:right="0"/>
      </w:pPr>
      <w:r>
        <w:t xml:space="preserve">Le recours d’un constructeur contre un autre constructeur et/ou son sous-traitant relève des dispositions de l’article 2224 du code civil ; il se prescrit </w:t>
      </w:r>
      <w:r>
        <w:rPr>
          <w:b/>
        </w:rPr>
        <w:t>par cinq ans</w:t>
      </w:r>
      <w:r>
        <w:t xml:space="preserve"> à compter du jour où le premier a connu ou aurait dû connaître les faits lui permettant de l’exercer (Cass. </w:t>
      </w:r>
      <w:proofErr w:type="gramStart"/>
      <w:r>
        <w:t>civ</w:t>
      </w:r>
      <w:proofErr w:type="gramEnd"/>
      <w:r>
        <w:t xml:space="preserve"> 3ème 16 janvier 2020, n°18-25915). </w:t>
      </w:r>
    </w:p>
    <w:p w14:paraId="0D1DA895" w14:textId="77777777" w:rsidR="008E781A" w:rsidRDefault="00756462">
      <w:pPr>
        <w:pStyle w:val="Titre1"/>
      </w:pPr>
      <w:r>
        <w:t>Exemple</w:t>
      </w:r>
      <w:r>
        <w:rPr>
          <w:u w:val="none"/>
        </w:rPr>
        <w:t xml:space="preserve"> </w:t>
      </w:r>
    </w:p>
    <w:p w14:paraId="45D9039E" w14:textId="77777777" w:rsidR="008E781A" w:rsidRDefault="00756462">
      <w:pPr>
        <w:ind w:left="-5" w:right="0"/>
      </w:pPr>
      <w:r>
        <w:t xml:space="preserve">Un maître d’œuvre et un carreleur participent à la construction d’un immeuble, réceptionné le 23/12/1999. </w:t>
      </w:r>
    </w:p>
    <w:p w14:paraId="316C93AC" w14:textId="77777777" w:rsidR="008E781A" w:rsidRDefault="00756462">
      <w:pPr>
        <w:ind w:left="-5" w:right="0"/>
      </w:pPr>
      <w:r>
        <w:t xml:space="preserve">En 2009, à la suite de l’apparition de désordres, le syndicat des copropriétaires obtient une mesure d’instruction judiciaire au contradictoire de l’architecte, du carreleur et son assureur. </w:t>
      </w:r>
    </w:p>
    <w:p w14:paraId="2D6A0E12" w14:textId="77777777" w:rsidR="008E781A" w:rsidRDefault="00756462">
      <w:pPr>
        <w:ind w:left="-5" w:right="0"/>
      </w:pPr>
      <w:r>
        <w:t xml:space="preserve">En décembre 2013, le syndicat assigne en indemnisation l’architecte. </w:t>
      </w:r>
    </w:p>
    <w:p w14:paraId="58AA812F" w14:textId="77777777" w:rsidR="008E781A" w:rsidRDefault="00756462">
      <w:pPr>
        <w:ind w:left="-5" w:right="0"/>
      </w:pPr>
      <w:r>
        <w:t xml:space="preserve">En juin 2014, l’architecte assigne en garantie le carreleur et son assureur, soit plus de 10 ans après la réception. </w:t>
      </w:r>
    </w:p>
    <w:p w14:paraId="202ACE34" w14:textId="3FCB635E" w:rsidR="008E781A" w:rsidRDefault="00756462">
      <w:pPr>
        <w:ind w:left="-5" w:right="0"/>
      </w:pPr>
      <w:r>
        <w:t xml:space="preserve">Par arrêt du 5 mars 2018, la cour d’appel de Besançon déclare prescrite cette action en garantie, au motif que, « selon l’article 1792-4-3 du code civil, la prescription de dix ans à compter de la réception s’applique aux recours entre constructeurs fondés sur la responsabilité contractuelle ou </w:t>
      </w:r>
      <w:r w:rsidR="00096246">
        <w:t>quasi délictuelle</w:t>
      </w:r>
      <w:r>
        <w:t xml:space="preserve"> ». </w:t>
      </w:r>
    </w:p>
    <w:p w14:paraId="25356A79" w14:textId="77777777" w:rsidR="008E781A" w:rsidRDefault="00756462">
      <w:pPr>
        <w:ind w:left="-5" w:right="0"/>
      </w:pPr>
      <w:r>
        <w:t xml:space="preserve">L’architecte se pourvoit en cassation. </w:t>
      </w:r>
    </w:p>
    <w:p w14:paraId="0D4265AC" w14:textId="77777777" w:rsidR="008E781A" w:rsidRDefault="00756462">
      <w:pPr>
        <w:ind w:left="-5" w:right="0"/>
      </w:pPr>
      <w:r>
        <w:t xml:space="preserve">La Cour de </w:t>
      </w:r>
      <w:proofErr w:type="gramStart"/>
      <w:r>
        <w:t>Cassation</w:t>
      </w:r>
      <w:proofErr w:type="gramEnd"/>
      <w:r>
        <w:t xml:space="preserve">, par arrêt du 16 janvier 2020, n°18-25915, casse la décision d’appel. </w:t>
      </w:r>
    </w:p>
    <w:p w14:paraId="4743366D" w14:textId="77777777" w:rsidR="008E781A" w:rsidRDefault="00756462">
      <w:pPr>
        <w:ind w:left="-5" w:right="0"/>
      </w:pPr>
      <w:r>
        <w:t xml:space="preserve">L’arrêt du 16 janvier 2020 précise le régime de prescription applicable au recours entre constructeurs, ou avec un sous-traitant en retenant l’application de la prescription de droit commun édictée par l’article 2224 du code civil. </w:t>
      </w:r>
    </w:p>
    <w:p w14:paraId="788BBD40" w14:textId="77777777" w:rsidR="008E781A" w:rsidRDefault="00756462">
      <w:pPr>
        <w:ind w:left="-5" w:right="0"/>
      </w:pPr>
      <w:r>
        <w:t xml:space="preserve">L’arrêt vient trancher, dans le sens de la jurisprudence dominante : - Le recours d’un constructeur contre un autre constructeur, ou son sous-traitant relève du droit commun, à savoir l’article 2224 du code civil.  </w:t>
      </w:r>
    </w:p>
    <w:p w14:paraId="23E82F4C" w14:textId="77777777" w:rsidR="008E781A" w:rsidRDefault="00756462">
      <w:pPr>
        <w:ind w:left="-5" w:right="0"/>
      </w:pPr>
      <w:r>
        <w:t xml:space="preserve">Le délai d’action de l’article 1792-4-3 du code civil n’est applicable qu’aux actions du maître d’ouvrage, de l’acquéreur, ou des personnes subrogées dans leurs droits. </w:t>
      </w:r>
    </w:p>
    <w:p w14:paraId="1D6B3195" w14:textId="77777777" w:rsidR="008E781A" w:rsidRDefault="00756462">
      <w:pPr>
        <w:ind w:left="-5" w:right="0"/>
      </w:pPr>
      <w:r>
        <w:t xml:space="preserve">Mais cet arrêt engendre une incertitude quant au point de départ de la prescription édictée par l’article 2224 du code civil. </w:t>
      </w:r>
    </w:p>
    <w:p w14:paraId="3459D2BC" w14:textId="77777777" w:rsidR="008E781A" w:rsidRDefault="00756462">
      <w:pPr>
        <w:ind w:left="-5" w:right="0"/>
      </w:pPr>
      <w:r>
        <w:t xml:space="preserve">Cet article dispose que le délai de prescription de cinq ans court « à compter du jour où le titulaire d’un droit a connu ou aurait dû connaître les faits lui permettant de l’exercer ». Ceci dans la limite d’un délai butoir de vingt ans à compter de la naissance du droit (art. 2232 code civil). </w:t>
      </w:r>
    </w:p>
    <w:p w14:paraId="592739BB" w14:textId="77777777" w:rsidR="00096246" w:rsidRDefault="00756462" w:rsidP="00096246">
      <w:pPr>
        <w:ind w:left="-5" w:right="0"/>
      </w:pPr>
      <w:r>
        <w:t>Or, la Cour de Cassation retient dans sa décision q</w:t>
      </w:r>
      <w:r w:rsidR="00096246">
        <w:t>ue « </w:t>
      </w:r>
      <w:r w:rsidR="00096246" w:rsidRPr="00096246">
        <w:t>l'assignation en référé-expertise délivrée par le maître de l'ouvrage à l'entrepreneur principal met en cause la responsabilité de ce dernier et constitue le point de départ du délai de son action récursoire à l'encontre des sous-traitants</w:t>
      </w:r>
      <w:r w:rsidR="00096246">
        <w:t>3</w:t>
      </w:r>
    </w:p>
    <w:p w14:paraId="2417924F" w14:textId="097679A5" w:rsidR="008E781A" w:rsidRDefault="00096246" w:rsidP="00096246">
      <w:pPr>
        <w:ind w:left="-5" w:right="0"/>
      </w:pPr>
      <w:r>
        <w:t>Il</w:t>
      </w:r>
      <w:r w:rsidR="00756462">
        <w:t xml:space="preserve"> convient donc d’être vigilant sur les délais. </w:t>
      </w:r>
    </w:p>
    <w:p w14:paraId="7BE1A8B6" w14:textId="5E6963A7" w:rsidR="008E781A" w:rsidRDefault="008E781A">
      <w:pPr>
        <w:spacing w:after="0" w:line="242" w:lineRule="auto"/>
        <w:ind w:left="4868" w:right="1096" w:firstLine="0"/>
        <w:jc w:val="left"/>
      </w:pPr>
    </w:p>
    <w:sectPr w:rsidR="008E781A">
      <w:pgSz w:w="11906" w:h="16838"/>
      <w:pgMar w:top="1440" w:right="1160" w:bottom="144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1A"/>
    <w:rsid w:val="00096246"/>
    <w:rsid w:val="00640411"/>
    <w:rsid w:val="00756462"/>
    <w:rsid w:val="008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C5D2"/>
  <w15:docId w15:val="{37FA71C8-DF10-46E7-9032-B978FA21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59" w:lineRule="auto"/>
      <w:ind w:left="10" w:right="1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LE MOULLEC</dc:creator>
  <cp:keywords/>
  <cp:lastModifiedBy>Yann LE MOULLEC</cp:lastModifiedBy>
  <cp:revision>2</cp:revision>
  <dcterms:created xsi:type="dcterms:W3CDTF">2026-04-07T15:43:00Z</dcterms:created>
  <dcterms:modified xsi:type="dcterms:W3CDTF">2026-04-07T15:43:00Z</dcterms:modified>
</cp:coreProperties>
</file>